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7F8EC" w14:textId="09788E97" w:rsidR="00D82BFA" w:rsidRDefault="0076244A" w:rsidP="00D82BFA">
      <w:pPr>
        <w:spacing w:after="0"/>
        <w:ind w:firstLine="709"/>
        <w:jc w:val="both"/>
        <w:rPr>
          <w:b/>
          <w:bCs/>
          <w:lang w:val="uk-UA"/>
        </w:rPr>
      </w:pPr>
      <w:r w:rsidRPr="0076244A">
        <w:rPr>
          <w:b/>
          <w:bCs/>
          <w:lang w:val="uk-UA"/>
        </w:rPr>
        <w:t xml:space="preserve">Роз’яснення щодо порядку забезпечення пацієнтів лікарськими засобами за кошти місцевих бюджетів у випадках, коли медичний напрямок (нозологія) не підлягає </w:t>
      </w:r>
      <w:proofErr w:type="spellStart"/>
      <w:r w:rsidRPr="0076244A">
        <w:rPr>
          <w:b/>
          <w:bCs/>
          <w:lang w:val="uk-UA"/>
        </w:rPr>
        <w:t>реімбурсації</w:t>
      </w:r>
      <w:proofErr w:type="spellEnd"/>
      <w:r w:rsidRPr="0076244A">
        <w:rPr>
          <w:b/>
          <w:bCs/>
          <w:lang w:val="uk-UA"/>
        </w:rPr>
        <w:t xml:space="preserve"> через Національну службу здоров’я України</w:t>
      </w:r>
    </w:p>
    <w:p w14:paraId="1791344E" w14:textId="77777777" w:rsidR="0076244A" w:rsidRPr="0076244A" w:rsidRDefault="0076244A" w:rsidP="00D82BFA">
      <w:pPr>
        <w:spacing w:after="0"/>
        <w:ind w:firstLine="709"/>
        <w:jc w:val="both"/>
        <w:rPr>
          <w:b/>
          <w:bCs/>
          <w:lang w:val="uk-UA"/>
        </w:rPr>
      </w:pPr>
    </w:p>
    <w:p w14:paraId="631AD104" w14:textId="534A2AC7" w:rsidR="00D82BFA" w:rsidRPr="00D82BFA" w:rsidRDefault="00D82BFA" w:rsidP="00D82BFA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З</w:t>
      </w:r>
      <w:r w:rsidRPr="00D82BFA">
        <w:rPr>
          <w:lang w:val="en-US"/>
        </w:rPr>
        <w:t xml:space="preserve"> </w:t>
      </w:r>
      <w:r w:rsidRPr="00D82BFA">
        <w:rPr>
          <w:lang w:val="uk-UA"/>
        </w:rPr>
        <w:t>метою усунення правової невизначеності (колізії) між державними та місцевими програмами, а також для захисту конституційного права пацієнтів на безкоштовне лікування за життєвими показаннями Міністерство</w:t>
      </w:r>
      <w:r>
        <w:rPr>
          <w:lang w:val="uk-UA"/>
        </w:rPr>
        <w:t xml:space="preserve"> охорони здоров’я України</w:t>
      </w:r>
      <w:r w:rsidRPr="00D82BFA">
        <w:rPr>
          <w:lang w:val="uk-UA"/>
        </w:rPr>
        <w:t xml:space="preserve"> надає роз’яснення щодо порядку забезпечення пацієнтів лікарськими засобами за кошти місцевих бюджетів у випадках, коли медичний напрямок (нозологія) не підлягає </w:t>
      </w:r>
      <w:proofErr w:type="spellStart"/>
      <w:r w:rsidRPr="00D82BFA">
        <w:rPr>
          <w:lang w:val="uk-UA"/>
        </w:rPr>
        <w:t>реімбурсації</w:t>
      </w:r>
      <w:proofErr w:type="spellEnd"/>
      <w:r w:rsidRPr="00D82BFA">
        <w:rPr>
          <w:lang w:val="uk-UA"/>
        </w:rPr>
        <w:t xml:space="preserve"> через Національну службу здоров’я України (далі - НСЗУ).</w:t>
      </w:r>
    </w:p>
    <w:p w14:paraId="24EE309D" w14:textId="2798AC2B" w:rsidR="00D82BFA" w:rsidRPr="00D82BFA" w:rsidRDefault="00D82BFA" w:rsidP="00292DC6">
      <w:pPr>
        <w:spacing w:after="0"/>
        <w:ind w:firstLine="709"/>
        <w:jc w:val="both"/>
        <w:rPr>
          <w:lang w:val="uk-UA"/>
        </w:rPr>
      </w:pPr>
      <w:r w:rsidRPr="00D82BFA">
        <w:rPr>
          <w:lang w:val="uk-UA"/>
        </w:rPr>
        <w:t>Згідно з нормами чинного законодавства України, безкоштовне надання</w:t>
      </w:r>
      <w:r w:rsidR="00292DC6">
        <w:rPr>
          <w:lang w:val="uk-UA"/>
        </w:rPr>
        <w:t xml:space="preserve"> </w:t>
      </w:r>
      <w:r w:rsidRPr="00D82BFA">
        <w:rPr>
          <w:lang w:val="uk-UA"/>
        </w:rPr>
        <w:t>ліків пацієнтам на амбулаторному етапі регулюється двома нормативно-правовими актами: постановою Кабінету Міністрів України від 31.12.2025 № 1808 «Деякі питання реалізації програми державних гарантій медичного обслуговування населення у 2026 році» (далі – Постанова № 1808) та постановою Кабінету Міністрів України від 17.08.1998 № 1303 «Про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захворювань» (далі – Постанова № 1303).</w:t>
      </w:r>
    </w:p>
    <w:p w14:paraId="60CBB6CC" w14:textId="77777777" w:rsidR="00D82BFA" w:rsidRPr="00D82BFA" w:rsidRDefault="00D82BFA" w:rsidP="00D82BFA">
      <w:pPr>
        <w:spacing w:after="0"/>
        <w:ind w:firstLine="709"/>
        <w:jc w:val="both"/>
        <w:rPr>
          <w:lang w:val="uk-UA"/>
        </w:rPr>
      </w:pPr>
      <w:r w:rsidRPr="00D82BFA">
        <w:rPr>
          <w:lang w:val="uk-UA"/>
        </w:rPr>
        <w:t>Пунктом 1 Постанови № 1303 визначено, що безоплатний або пільговий</w:t>
      </w:r>
    </w:p>
    <w:p w14:paraId="0230A00E" w14:textId="77777777" w:rsidR="00D82BFA" w:rsidRPr="00D82BFA" w:rsidRDefault="00D82BFA" w:rsidP="00292DC6">
      <w:pPr>
        <w:spacing w:after="0"/>
        <w:jc w:val="both"/>
        <w:rPr>
          <w:lang w:val="uk-UA"/>
        </w:rPr>
      </w:pPr>
      <w:r w:rsidRPr="00D82BFA">
        <w:rPr>
          <w:lang w:val="uk-UA"/>
        </w:rPr>
        <w:t>відпуск лікарських засобів за рецептами лікарів у разі амбулаторного лікування проводиться групам населення та за категоріями захворювань згідно з додатками 1 і 2.</w:t>
      </w:r>
    </w:p>
    <w:p w14:paraId="2C0C34CE" w14:textId="6AEDC749" w:rsidR="00D82BFA" w:rsidRPr="00D82BFA" w:rsidRDefault="00D82BFA" w:rsidP="00292DC6">
      <w:pPr>
        <w:spacing w:after="0"/>
        <w:ind w:firstLine="709"/>
        <w:jc w:val="both"/>
        <w:rPr>
          <w:lang w:val="uk-UA"/>
        </w:rPr>
      </w:pPr>
      <w:r w:rsidRPr="00D82BFA">
        <w:rPr>
          <w:lang w:val="uk-UA"/>
        </w:rPr>
        <w:t>Безоплатно і на пільгових умовах відпускаються лікарські засоби, які</w:t>
      </w:r>
      <w:r w:rsidR="00292DC6">
        <w:rPr>
          <w:lang w:val="uk-UA"/>
        </w:rPr>
        <w:t xml:space="preserve"> </w:t>
      </w:r>
      <w:r w:rsidRPr="00D82BFA">
        <w:rPr>
          <w:lang w:val="uk-UA"/>
        </w:rPr>
        <w:t>зареєстровані в Україні в установленому порядку та включені до галузевих</w:t>
      </w:r>
      <w:r>
        <w:rPr>
          <w:lang w:val="uk-UA"/>
        </w:rPr>
        <w:t xml:space="preserve"> </w:t>
      </w:r>
      <w:r w:rsidRPr="00D82BFA">
        <w:rPr>
          <w:lang w:val="uk-UA"/>
        </w:rPr>
        <w:t>стандартів у сфері охорони здоров’я. Дія цієї постанови не поширюється на</w:t>
      </w:r>
      <w:r>
        <w:rPr>
          <w:lang w:val="uk-UA"/>
        </w:rPr>
        <w:t xml:space="preserve"> </w:t>
      </w:r>
      <w:r w:rsidRPr="00D82BFA">
        <w:rPr>
          <w:lang w:val="uk-UA"/>
        </w:rPr>
        <w:t xml:space="preserve">лікарські засоби, вартість яких відшкодовується за договорами про </w:t>
      </w:r>
      <w:proofErr w:type="spellStart"/>
      <w:r w:rsidRPr="00D82BFA">
        <w:rPr>
          <w:lang w:val="uk-UA"/>
        </w:rPr>
        <w:t>реімбурсацію</w:t>
      </w:r>
      <w:proofErr w:type="spellEnd"/>
      <w:r w:rsidRPr="00D82BFA">
        <w:rPr>
          <w:lang w:val="uk-UA"/>
        </w:rPr>
        <w:t>, укладеними відповідно до законодавства.</w:t>
      </w:r>
    </w:p>
    <w:p w14:paraId="6B528CCA" w14:textId="77777777" w:rsidR="00D82BFA" w:rsidRPr="00D82BFA" w:rsidRDefault="00D82BFA" w:rsidP="00D82BFA">
      <w:pPr>
        <w:spacing w:after="0"/>
        <w:ind w:firstLine="709"/>
        <w:jc w:val="both"/>
        <w:rPr>
          <w:lang w:val="uk-UA"/>
        </w:rPr>
      </w:pPr>
      <w:r w:rsidRPr="00D82BFA">
        <w:rPr>
          <w:lang w:val="uk-UA"/>
        </w:rPr>
        <w:t xml:space="preserve">За програмою </w:t>
      </w:r>
      <w:proofErr w:type="spellStart"/>
      <w:r w:rsidRPr="00D82BFA">
        <w:rPr>
          <w:lang w:val="uk-UA"/>
        </w:rPr>
        <w:t>реімбурсації</w:t>
      </w:r>
      <w:proofErr w:type="spellEnd"/>
      <w:r w:rsidRPr="00D82BFA">
        <w:rPr>
          <w:lang w:val="uk-UA"/>
        </w:rPr>
        <w:t xml:space="preserve"> «Доступні ліки» виписка електронних рецептів здійснюється із зазначенням міжнародної непатентованої назви (МНН).</w:t>
      </w:r>
    </w:p>
    <w:p w14:paraId="58F005EF" w14:textId="77777777" w:rsidR="00D82BFA" w:rsidRPr="00D82BFA" w:rsidRDefault="00D82BFA" w:rsidP="00D82BFA">
      <w:pPr>
        <w:spacing w:after="0"/>
        <w:ind w:firstLine="709"/>
        <w:jc w:val="both"/>
        <w:rPr>
          <w:lang w:val="uk-UA"/>
        </w:rPr>
      </w:pPr>
      <w:r w:rsidRPr="00D82BFA">
        <w:rPr>
          <w:lang w:val="uk-UA"/>
        </w:rPr>
        <w:t>Лікарські засоби та медичні вироби із зазначенням торговельної назви й</w:t>
      </w:r>
    </w:p>
    <w:p w14:paraId="7C9BC7BB" w14:textId="3F032D09" w:rsidR="00D82BFA" w:rsidRPr="00D82BFA" w:rsidRDefault="00D82BFA" w:rsidP="00292DC6">
      <w:pPr>
        <w:spacing w:after="0"/>
        <w:jc w:val="both"/>
        <w:rPr>
          <w:lang w:val="uk-UA"/>
        </w:rPr>
      </w:pPr>
      <w:r w:rsidRPr="00D82BFA">
        <w:rPr>
          <w:lang w:val="uk-UA"/>
        </w:rPr>
        <w:t xml:space="preserve">виробників, а також розмір </w:t>
      </w:r>
      <w:proofErr w:type="spellStart"/>
      <w:r w:rsidRPr="00D82BFA">
        <w:rPr>
          <w:lang w:val="uk-UA"/>
        </w:rPr>
        <w:t>реімбурсації</w:t>
      </w:r>
      <w:proofErr w:type="spellEnd"/>
      <w:r w:rsidRPr="00D82BFA">
        <w:rPr>
          <w:lang w:val="uk-UA"/>
        </w:rPr>
        <w:t xml:space="preserve">, затверджений наказом МОЗ від16.03.2026 № 324 (далі — наказ № 324), розміщено на </w:t>
      </w:r>
      <w:proofErr w:type="spellStart"/>
      <w:r w:rsidRPr="00D82BFA">
        <w:rPr>
          <w:lang w:val="uk-UA"/>
        </w:rPr>
        <w:t>вебсайті</w:t>
      </w:r>
      <w:proofErr w:type="spellEnd"/>
      <w:r w:rsidRPr="00D82BFA">
        <w:rPr>
          <w:lang w:val="uk-UA"/>
        </w:rPr>
        <w:t xml:space="preserve"> Міністерства охорони здоров’я (https://moz.gov.ua) в розділі «Документи/Накази МОЗ» у відкритому доступі.</w:t>
      </w:r>
    </w:p>
    <w:p w14:paraId="6065457A" w14:textId="3F3035E9" w:rsidR="00D82BFA" w:rsidRPr="00D82BFA" w:rsidRDefault="00D82BFA" w:rsidP="00D82BFA">
      <w:pPr>
        <w:spacing w:after="0"/>
        <w:ind w:firstLine="709"/>
        <w:jc w:val="both"/>
        <w:rPr>
          <w:lang w:val="uk-UA"/>
        </w:rPr>
      </w:pPr>
      <w:r w:rsidRPr="00D82BFA">
        <w:rPr>
          <w:lang w:val="uk-UA"/>
        </w:rPr>
        <w:t>Крім того, на офіційному сайті Національної служби охорони здоров’я</w:t>
      </w:r>
      <w:r>
        <w:rPr>
          <w:lang w:val="uk-UA"/>
        </w:rPr>
        <w:t xml:space="preserve"> </w:t>
      </w:r>
      <w:r w:rsidRPr="00D82BFA">
        <w:rPr>
          <w:lang w:val="uk-UA"/>
        </w:rPr>
        <w:t xml:space="preserve">України розміщено наказ від 28.04.2026 № 194 «Про затвердження Переліків лікарських засобів, які підлягають </w:t>
      </w:r>
      <w:proofErr w:type="spellStart"/>
      <w:r w:rsidRPr="00D82BFA">
        <w:rPr>
          <w:lang w:val="uk-UA"/>
        </w:rPr>
        <w:t>реімбурсації</w:t>
      </w:r>
      <w:proofErr w:type="spellEnd"/>
      <w:r w:rsidRPr="00D82BFA">
        <w:rPr>
          <w:lang w:val="uk-UA"/>
        </w:rPr>
        <w:t xml:space="preserve"> за програмою державних гарантій медичного обслуговування населення, станом на 28 квітня 2026 року» (зі змінами згідно з наказом від 30.04.2026 № 199).</w:t>
      </w:r>
    </w:p>
    <w:p w14:paraId="07AB067A" w14:textId="6B01F7E9" w:rsidR="00D82BFA" w:rsidRPr="00D82BFA" w:rsidRDefault="00D82BFA" w:rsidP="00D82BFA">
      <w:pPr>
        <w:spacing w:after="0"/>
        <w:ind w:firstLine="709"/>
        <w:jc w:val="both"/>
        <w:rPr>
          <w:lang w:val="uk-UA"/>
        </w:rPr>
      </w:pPr>
      <w:r w:rsidRPr="00D82BFA">
        <w:rPr>
          <w:lang w:val="uk-UA"/>
        </w:rPr>
        <w:t>Для прикладу: відповідно до інструкції, лікарський засіб «ДЖАРДІНС»</w:t>
      </w:r>
      <w:r>
        <w:rPr>
          <w:lang w:val="uk-UA"/>
        </w:rPr>
        <w:t xml:space="preserve">, </w:t>
      </w:r>
      <w:r w:rsidRPr="00D82BFA">
        <w:rPr>
          <w:lang w:val="uk-UA"/>
        </w:rPr>
        <w:t>який містить міжнародну непатентовану назву «</w:t>
      </w:r>
      <w:proofErr w:type="spellStart"/>
      <w:r w:rsidRPr="00D82BFA">
        <w:rPr>
          <w:lang w:val="uk-UA"/>
        </w:rPr>
        <w:t>Емпагліфлозин</w:t>
      </w:r>
      <w:proofErr w:type="spellEnd"/>
      <w:r w:rsidRPr="00D82BFA">
        <w:rPr>
          <w:lang w:val="uk-UA"/>
        </w:rPr>
        <w:t>»</w:t>
      </w:r>
      <w:r w:rsidR="006806F8">
        <w:rPr>
          <w:lang w:val="uk-UA"/>
        </w:rPr>
        <w:t>,</w:t>
      </w:r>
      <w:r w:rsidRPr="00D82BFA">
        <w:rPr>
          <w:lang w:val="uk-UA"/>
        </w:rPr>
        <w:t xml:space="preserve"> показаний </w:t>
      </w:r>
      <w:r w:rsidRPr="00D82BFA">
        <w:rPr>
          <w:lang w:val="uk-UA"/>
        </w:rPr>
        <w:lastRenderedPageBreak/>
        <w:t xml:space="preserve">для лікування цукрового діабету 2 типу, серцевої недостатності та хронічної хвороби нирок. Проте до програми «Доступні ліки» цей препарат включено виключно за напрямом «Цукровий діабет 2 типу». Пов'язано це з тим, що державний бюджет наразі фінансує </w:t>
      </w:r>
      <w:proofErr w:type="spellStart"/>
      <w:r w:rsidRPr="00D82BFA">
        <w:rPr>
          <w:lang w:val="uk-UA"/>
        </w:rPr>
        <w:t>реімбурсацію</w:t>
      </w:r>
      <w:proofErr w:type="spellEnd"/>
      <w:r w:rsidRPr="00D82BFA">
        <w:rPr>
          <w:lang w:val="uk-UA"/>
        </w:rPr>
        <w:t xml:space="preserve"> цієї групи засобів лише для зазначеної категорії пацієнтів. Згідно з чинним законодавством, лікар може виписати рецепт із відшкодуванням вартості тільки за умови підтвердженого діагнозу діабету, зафіксованого в Електронній системі охорони здоров'я (ЕСОЗ).</w:t>
      </w:r>
    </w:p>
    <w:p w14:paraId="4724327D" w14:textId="77777777" w:rsidR="00D82BFA" w:rsidRPr="00D82BFA" w:rsidRDefault="00D82BFA" w:rsidP="00D82BFA">
      <w:pPr>
        <w:spacing w:after="0"/>
        <w:ind w:firstLine="709"/>
        <w:jc w:val="both"/>
        <w:rPr>
          <w:lang w:val="uk-UA"/>
        </w:rPr>
      </w:pPr>
      <w:r w:rsidRPr="00D82BFA">
        <w:rPr>
          <w:lang w:val="uk-UA"/>
        </w:rPr>
        <w:t>Якщо ж пацієнту за життєвими показаннями потрібен безперервний прийом лікарського засобу за міжнародною непатентованою назвою «</w:t>
      </w:r>
      <w:proofErr w:type="spellStart"/>
      <w:r w:rsidRPr="00D82BFA">
        <w:rPr>
          <w:lang w:val="uk-UA"/>
        </w:rPr>
        <w:t>Емпагліфлозин</w:t>
      </w:r>
      <w:proofErr w:type="spellEnd"/>
      <w:r w:rsidRPr="00D82BFA">
        <w:rPr>
          <w:lang w:val="uk-UA"/>
        </w:rPr>
        <w:t>» (торгова назва «ДЖАРДІНС») для лікування серцевої недостатності або хронічної хвороби нирок, його право на пільгове забезпечення за рахунок місцевого бюджету повністю зберігається. У разі амбулаторного лікування такий пацієнт може отримати медикаменти безоплатно або на пільгових умовах за рецептами лікарів відповідно до Додатка 1 Постанови Кабінету Міністрів України № 1303.</w:t>
      </w:r>
    </w:p>
    <w:p w14:paraId="7C41C41A" w14:textId="6B5FAFB6" w:rsidR="00D82BFA" w:rsidRPr="00D82BFA" w:rsidRDefault="00D82BFA" w:rsidP="00D82BFA">
      <w:pPr>
        <w:spacing w:after="0"/>
        <w:ind w:firstLine="709"/>
        <w:jc w:val="both"/>
        <w:rPr>
          <w:lang w:val="uk-UA"/>
        </w:rPr>
      </w:pPr>
      <w:r w:rsidRPr="00D82BFA">
        <w:rPr>
          <w:lang w:val="uk-UA"/>
        </w:rPr>
        <w:t>Лікарі закладів охорони здоров’я мають повне юридичне право та зобов’язані виписувати пільгові рецепти за Постановою № 1303 на препарати,</w:t>
      </w:r>
      <w:r>
        <w:rPr>
          <w:lang w:val="uk-UA"/>
        </w:rPr>
        <w:t xml:space="preserve"> </w:t>
      </w:r>
      <w:r w:rsidRPr="00D82BFA">
        <w:rPr>
          <w:lang w:val="uk-UA"/>
        </w:rPr>
        <w:t>які фінансуються з місцевого бюджету, якщо у пацієнта наявне захворювання з Переліку Додатку 1 або Додатку 2 Постанови № 1303, а державна програма</w:t>
      </w:r>
      <w:r>
        <w:rPr>
          <w:lang w:val="uk-UA"/>
        </w:rPr>
        <w:t xml:space="preserve"> </w:t>
      </w:r>
      <w:proofErr w:type="spellStart"/>
      <w:r w:rsidRPr="00D82BFA">
        <w:rPr>
          <w:lang w:val="uk-UA"/>
        </w:rPr>
        <w:t>реімбурсації</w:t>
      </w:r>
      <w:proofErr w:type="spellEnd"/>
      <w:r w:rsidRPr="00D82BFA">
        <w:rPr>
          <w:lang w:val="uk-UA"/>
        </w:rPr>
        <w:t xml:space="preserve"> цей діагноз не покриває.</w:t>
      </w:r>
    </w:p>
    <w:p w14:paraId="4B86C816" w14:textId="74F0C1DD" w:rsidR="00D82BFA" w:rsidRPr="00D82BFA" w:rsidRDefault="00D82BFA" w:rsidP="00D82BFA">
      <w:pPr>
        <w:spacing w:after="0"/>
        <w:ind w:firstLine="709"/>
        <w:jc w:val="both"/>
        <w:rPr>
          <w:lang w:val="uk-UA"/>
        </w:rPr>
      </w:pPr>
      <w:r w:rsidRPr="00D82BFA">
        <w:rPr>
          <w:lang w:val="uk-UA"/>
        </w:rPr>
        <w:t xml:space="preserve">Формальна наявність МНН у загальному списку </w:t>
      </w:r>
      <w:proofErr w:type="spellStart"/>
      <w:r w:rsidRPr="00D82BFA">
        <w:rPr>
          <w:lang w:val="uk-UA"/>
        </w:rPr>
        <w:t>реімбурсації</w:t>
      </w:r>
      <w:proofErr w:type="spellEnd"/>
      <w:r w:rsidRPr="00D82BFA">
        <w:rPr>
          <w:lang w:val="uk-UA"/>
        </w:rPr>
        <w:t xml:space="preserve"> за іншим</w:t>
      </w:r>
      <w:r>
        <w:rPr>
          <w:lang w:val="uk-UA"/>
        </w:rPr>
        <w:t xml:space="preserve"> </w:t>
      </w:r>
      <w:r w:rsidRPr="00D82BFA">
        <w:rPr>
          <w:lang w:val="uk-UA"/>
        </w:rPr>
        <w:t>медичним профілем не є законною підставою для відмови пацієнту у виписці пільгового рецепта за кошти місцевого бюджету. Відмова медичного закладу у забезпеченні пацієнта рецептом за життєвими показаннями є прямим порушенням конституційного права громадян на медичну допомогу та соціальний захист.</w:t>
      </w:r>
    </w:p>
    <w:p w14:paraId="37F71DA6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BFA"/>
    <w:rsid w:val="0000505F"/>
    <w:rsid w:val="00006890"/>
    <w:rsid w:val="000149BA"/>
    <w:rsid w:val="00016D6F"/>
    <w:rsid w:val="00023331"/>
    <w:rsid w:val="000246B2"/>
    <w:rsid w:val="00025208"/>
    <w:rsid w:val="0003236D"/>
    <w:rsid w:val="00040B29"/>
    <w:rsid w:val="0004623E"/>
    <w:rsid w:val="00075BED"/>
    <w:rsid w:val="000761E0"/>
    <w:rsid w:val="00091CB2"/>
    <w:rsid w:val="00092354"/>
    <w:rsid w:val="000A00F2"/>
    <w:rsid w:val="000A55BA"/>
    <w:rsid w:val="000A5AEA"/>
    <w:rsid w:val="000E2F02"/>
    <w:rsid w:val="000E68F7"/>
    <w:rsid w:val="000F2808"/>
    <w:rsid w:val="000F6932"/>
    <w:rsid w:val="0010541B"/>
    <w:rsid w:val="00105EF4"/>
    <w:rsid w:val="00111975"/>
    <w:rsid w:val="0012545A"/>
    <w:rsid w:val="001306EC"/>
    <w:rsid w:val="00141F7B"/>
    <w:rsid w:val="001459CE"/>
    <w:rsid w:val="00150901"/>
    <w:rsid w:val="00150AA6"/>
    <w:rsid w:val="00192FBD"/>
    <w:rsid w:val="001A374F"/>
    <w:rsid w:val="001A4E62"/>
    <w:rsid w:val="001B62A9"/>
    <w:rsid w:val="001C5677"/>
    <w:rsid w:val="001D20BD"/>
    <w:rsid w:val="001E43FC"/>
    <w:rsid w:val="001F39E3"/>
    <w:rsid w:val="001F4E97"/>
    <w:rsid w:val="00200025"/>
    <w:rsid w:val="00204E8A"/>
    <w:rsid w:val="002278BC"/>
    <w:rsid w:val="00235ED9"/>
    <w:rsid w:val="002426E1"/>
    <w:rsid w:val="00251302"/>
    <w:rsid w:val="00261482"/>
    <w:rsid w:val="0026436A"/>
    <w:rsid w:val="00264E66"/>
    <w:rsid w:val="00267EB3"/>
    <w:rsid w:val="0028054A"/>
    <w:rsid w:val="00280B37"/>
    <w:rsid w:val="002848C4"/>
    <w:rsid w:val="00292DC6"/>
    <w:rsid w:val="002A2BAC"/>
    <w:rsid w:val="002A4BCA"/>
    <w:rsid w:val="002C6EAF"/>
    <w:rsid w:val="002D6E4C"/>
    <w:rsid w:val="002E634F"/>
    <w:rsid w:val="00322C99"/>
    <w:rsid w:val="00333C4E"/>
    <w:rsid w:val="00350395"/>
    <w:rsid w:val="0036460B"/>
    <w:rsid w:val="0037395B"/>
    <w:rsid w:val="00394F93"/>
    <w:rsid w:val="003B617D"/>
    <w:rsid w:val="003B7220"/>
    <w:rsid w:val="003D18E9"/>
    <w:rsid w:val="003D2184"/>
    <w:rsid w:val="003D2ADC"/>
    <w:rsid w:val="00431E9D"/>
    <w:rsid w:val="00435467"/>
    <w:rsid w:val="004464E5"/>
    <w:rsid w:val="0049042D"/>
    <w:rsid w:val="004958F1"/>
    <w:rsid w:val="0049634D"/>
    <w:rsid w:val="004B1388"/>
    <w:rsid w:val="004B4A0B"/>
    <w:rsid w:val="004C29A7"/>
    <w:rsid w:val="004C5E94"/>
    <w:rsid w:val="004C5EB6"/>
    <w:rsid w:val="004C7AC0"/>
    <w:rsid w:val="004D4087"/>
    <w:rsid w:val="004D774A"/>
    <w:rsid w:val="004E2CAA"/>
    <w:rsid w:val="004F5A1D"/>
    <w:rsid w:val="00502CDC"/>
    <w:rsid w:val="005120B4"/>
    <w:rsid w:val="00550472"/>
    <w:rsid w:val="00557F8C"/>
    <w:rsid w:val="005644C7"/>
    <w:rsid w:val="0056476D"/>
    <w:rsid w:val="005B1DAC"/>
    <w:rsid w:val="005B28A1"/>
    <w:rsid w:val="005D7E4F"/>
    <w:rsid w:val="005F36A3"/>
    <w:rsid w:val="005F58D1"/>
    <w:rsid w:val="005F6DC3"/>
    <w:rsid w:val="00600106"/>
    <w:rsid w:val="00626BAE"/>
    <w:rsid w:val="00654919"/>
    <w:rsid w:val="006700F7"/>
    <w:rsid w:val="006806F8"/>
    <w:rsid w:val="00686106"/>
    <w:rsid w:val="006A6DBE"/>
    <w:rsid w:val="006B204E"/>
    <w:rsid w:val="006C0B77"/>
    <w:rsid w:val="006D7709"/>
    <w:rsid w:val="006F5EBC"/>
    <w:rsid w:val="006F758E"/>
    <w:rsid w:val="00710C52"/>
    <w:rsid w:val="0071724B"/>
    <w:rsid w:val="00722B03"/>
    <w:rsid w:val="00727B74"/>
    <w:rsid w:val="00752FA8"/>
    <w:rsid w:val="0076244A"/>
    <w:rsid w:val="0076661F"/>
    <w:rsid w:val="00774444"/>
    <w:rsid w:val="00794FA4"/>
    <w:rsid w:val="007A0C32"/>
    <w:rsid w:val="007A45F4"/>
    <w:rsid w:val="007B621C"/>
    <w:rsid w:val="007C3130"/>
    <w:rsid w:val="007E0516"/>
    <w:rsid w:val="007F118D"/>
    <w:rsid w:val="007F73AD"/>
    <w:rsid w:val="00815FE2"/>
    <w:rsid w:val="008242FF"/>
    <w:rsid w:val="008261B5"/>
    <w:rsid w:val="0082621B"/>
    <w:rsid w:val="00832171"/>
    <w:rsid w:val="00837795"/>
    <w:rsid w:val="008421FE"/>
    <w:rsid w:val="008437F7"/>
    <w:rsid w:val="00847113"/>
    <w:rsid w:val="00866473"/>
    <w:rsid w:val="00870751"/>
    <w:rsid w:val="00883234"/>
    <w:rsid w:val="00887598"/>
    <w:rsid w:val="00890637"/>
    <w:rsid w:val="0089157D"/>
    <w:rsid w:val="00897CB4"/>
    <w:rsid w:val="008A55E9"/>
    <w:rsid w:val="008E22CA"/>
    <w:rsid w:val="008E3479"/>
    <w:rsid w:val="008E4C61"/>
    <w:rsid w:val="008E600C"/>
    <w:rsid w:val="008F5E19"/>
    <w:rsid w:val="008F6B65"/>
    <w:rsid w:val="00901F20"/>
    <w:rsid w:val="00922C48"/>
    <w:rsid w:val="00925A35"/>
    <w:rsid w:val="009405D3"/>
    <w:rsid w:val="00941888"/>
    <w:rsid w:val="0096033B"/>
    <w:rsid w:val="009722E1"/>
    <w:rsid w:val="00981273"/>
    <w:rsid w:val="009B7858"/>
    <w:rsid w:val="009C6BD6"/>
    <w:rsid w:val="009D75D5"/>
    <w:rsid w:val="009F1C03"/>
    <w:rsid w:val="00A06264"/>
    <w:rsid w:val="00A30155"/>
    <w:rsid w:val="00A536C7"/>
    <w:rsid w:val="00A63451"/>
    <w:rsid w:val="00A63F4A"/>
    <w:rsid w:val="00A77ABC"/>
    <w:rsid w:val="00A8720B"/>
    <w:rsid w:val="00A958B9"/>
    <w:rsid w:val="00AA2901"/>
    <w:rsid w:val="00AD60C1"/>
    <w:rsid w:val="00AF143B"/>
    <w:rsid w:val="00AF59CD"/>
    <w:rsid w:val="00AF6184"/>
    <w:rsid w:val="00B14207"/>
    <w:rsid w:val="00B2274E"/>
    <w:rsid w:val="00B350E2"/>
    <w:rsid w:val="00B45D72"/>
    <w:rsid w:val="00B65744"/>
    <w:rsid w:val="00B71179"/>
    <w:rsid w:val="00B73596"/>
    <w:rsid w:val="00B86E8D"/>
    <w:rsid w:val="00B915B7"/>
    <w:rsid w:val="00B95AD6"/>
    <w:rsid w:val="00BB55ED"/>
    <w:rsid w:val="00BB67D7"/>
    <w:rsid w:val="00BD31EC"/>
    <w:rsid w:val="00BE5E68"/>
    <w:rsid w:val="00BF4E71"/>
    <w:rsid w:val="00C05EB6"/>
    <w:rsid w:val="00C126CF"/>
    <w:rsid w:val="00C1572A"/>
    <w:rsid w:val="00C20ADF"/>
    <w:rsid w:val="00C23BA6"/>
    <w:rsid w:val="00C315C8"/>
    <w:rsid w:val="00C40EF5"/>
    <w:rsid w:val="00C40F47"/>
    <w:rsid w:val="00C4270E"/>
    <w:rsid w:val="00C46646"/>
    <w:rsid w:val="00C52BAA"/>
    <w:rsid w:val="00C62601"/>
    <w:rsid w:val="00C676C9"/>
    <w:rsid w:val="00C77A01"/>
    <w:rsid w:val="00C961A9"/>
    <w:rsid w:val="00CC5673"/>
    <w:rsid w:val="00CD0BFA"/>
    <w:rsid w:val="00CD75A8"/>
    <w:rsid w:val="00CE2B53"/>
    <w:rsid w:val="00D04161"/>
    <w:rsid w:val="00D06C35"/>
    <w:rsid w:val="00D20FEC"/>
    <w:rsid w:val="00D22DAB"/>
    <w:rsid w:val="00D25567"/>
    <w:rsid w:val="00D30506"/>
    <w:rsid w:val="00D40F13"/>
    <w:rsid w:val="00D5349E"/>
    <w:rsid w:val="00D74079"/>
    <w:rsid w:val="00D740E5"/>
    <w:rsid w:val="00D82BA6"/>
    <w:rsid w:val="00D82BFA"/>
    <w:rsid w:val="00D82D88"/>
    <w:rsid w:val="00DB63B2"/>
    <w:rsid w:val="00DD4039"/>
    <w:rsid w:val="00E02194"/>
    <w:rsid w:val="00E03912"/>
    <w:rsid w:val="00E369D3"/>
    <w:rsid w:val="00E432F5"/>
    <w:rsid w:val="00E55435"/>
    <w:rsid w:val="00E572B5"/>
    <w:rsid w:val="00E90492"/>
    <w:rsid w:val="00EA59DF"/>
    <w:rsid w:val="00ED166E"/>
    <w:rsid w:val="00ED403D"/>
    <w:rsid w:val="00EE4070"/>
    <w:rsid w:val="00F02F7E"/>
    <w:rsid w:val="00F0555A"/>
    <w:rsid w:val="00F05743"/>
    <w:rsid w:val="00F12C76"/>
    <w:rsid w:val="00F17E12"/>
    <w:rsid w:val="00F205CB"/>
    <w:rsid w:val="00F258C6"/>
    <w:rsid w:val="00F33BEB"/>
    <w:rsid w:val="00F553E3"/>
    <w:rsid w:val="00F56734"/>
    <w:rsid w:val="00F6229C"/>
    <w:rsid w:val="00F7044B"/>
    <w:rsid w:val="00F71519"/>
    <w:rsid w:val="00F82F5C"/>
    <w:rsid w:val="00FA0755"/>
    <w:rsid w:val="00FA63A1"/>
    <w:rsid w:val="00FB4B06"/>
    <w:rsid w:val="00FB6BD0"/>
    <w:rsid w:val="00FE5AB7"/>
    <w:rsid w:val="00FF1267"/>
    <w:rsid w:val="00FF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73692"/>
  <w15:chartTrackingRefBased/>
  <w15:docId w15:val="{9D1DA6BB-FCFB-42A5-BB71-E0D91CF09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ru-RU" w:eastAsia="ii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82B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2B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2BF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2BF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2BF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2BF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2BF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2BF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2BF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2B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2B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2B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2BFA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82BFA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82BF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82BF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82BF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82BF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82B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82B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2BF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82B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2B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82BFA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D82B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2B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2B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82BFA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d">
    <w:name w:val="Intense Reference"/>
    <w:basedOn w:val="a0"/>
    <w:uiPriority w:val="32"/>
    <w:qFormat/>
    <w:rsid w:val="00D82B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5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673</Words>
  <Characters>3838</Characters>
  <Application>Microsoft Office Word</Application>
  <DocSecurity>0</DocSecurity>
  <Lines>31</Lines>
  <Paragraphs>9</Paragraphs>
  <ScaleCrop>false</ScaleCrop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Архипчук</dc:creator>
  <cp:keywords/>
  <dc:description/>
  <cp:lastModifiedBy>Тамара Архипчук</cp:lastModifiedBy>
  <cp:revision>6</cp:revision>
  <dcterms:created xsi:type="dcterms:W3CDTF">2026-07-10T06:32:00Z</dcterms:created>
  <dcterms:modified xsi:type="dcterms:W3CDTF">2026-07-10T12:03:00Z</dcterms:modified>
</cp:coreProperties>
</file>