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366D" w14:textId="77777777" w:rsidR="007920B7" w:rsidRPr="007920B7" w:rsidRDefault="007920B7" w:rsidP="007920B7">
      <w:pPr>
        <w:spacing w:after="120"/>
        <w:ind w:firstLine="709"/>
        <w:jc w:val="center"/>
        <w:rPr>
          <w:b/>
          <w:bCs/>
        </w:rPr>
      </w:pPr>
      <w:r w:rsidRPr="007920B7">
        <w:rPr>
          <w:b/>
          <w:bCs/>
        </w:rPr>
        <w:t>Переклад документів для оцінювання повсякденного функціонування за кордоном: консульство засвідчує переклад без консульського збору</w:t>
      </w:r>
    </w:p>
    <w:p w14:paraId="6768FDF5" w14:textId="4593B76D" w:rsidR="007920B7" w:rsidRPr="007920B7" w:rsidRDefault="007920B7" w:rsidP="007920B7">
      <w:pPr>
        <w:spacing w:after="120"/>
        <w:ind w:firstLine="709"/>
        <w:jc w:val="both"/>
      </w:pPr>
      <w:r w:rsidRPr="007920B7">
        <w:t>Громадяни України, які перебувають за кордоном і готують документи для направлення на оцінювання повсякденного функціонування, можуть засвідчити правильність перекладу таких документів на українську мову в закордонній дипломатичній установі України без сплати консульського збору.</w:t>
      </w:r>
      <w:r>
        <w:t xml:space="preserve"> </w:t>
      </w:r>
      <w:r w:rsidRPr="007920B7">
        <w:t>Це передбачено статтею 38 Закону України «Про нотаріат», яка встановлює, що у зазначеному випадку</w:t>
      </w:r>
      <w:r>
        <w:t xml:space="preserve"> </w:t>
      </w:r>
      <w:r w:rsidRPr="007920B7">
        <w:rPr>
          <w:b/>
          <w:bCs/>
        </w:rPr>
        <w:t xml:space="preserve">консульський збір не </w:t>
      </w:r>
      <w:r w:rsidRPr="007920B7">
        <w:rPr>
          <w:b/>
          <w:bCs/>
        </w:rPr>
        <w:t>стягується</w:t>
      </w:r>
      <w:r w:rsidRPr="007920B7">
        <w:rPr>
          <w:b/>
          <w:bCs/>
        </w:rPr>
        <w:t>.</w:t>
      </w:r>
    </w:p>
    <w:p w14:paraId="41E38C33" w14:textId="77777777" w:rsidR="007920B7" w:rsidRPr="007920B7" w:rsidRDefault="007920B7" w:rsidP="007920B7">
      <w:pPr>
        <w:spacing w:after="120"/>
        <w:ind w:firstLine="709"/>
        <w:jc w:val="both"/>
      </w:pPr>
      <w:r w:rsidRPr="007920B7">
        <w:rPr>
          <w:b/>
          <w:bCs/>
        </w:rPr>
        <w:t>Кому це корисно</w:t>
      </w:r>
    </w:p>
    <w:p w14:paraId="51866574" w14:textId="77777777" w:rsidR="007920B7" w:rsidRPr="007920B7" w:rsidRDefault="007920B7" w:rsidP="007920B7">
      <w:pPr>
        <w:numPr>
          <w:ilvl w:val="0"/>
          <w:numId w:val="1"/>
        </w:numPr>
        <w:spacing w:after="120"/>
        <w:jc w:val="both"/>
      </w:pPr>
      <w:r w:rsidRPr="007920B7">
        <w:t>громадянам України, які перебувають за кордоном і формують пакет документів, необхідних для направлення на оцінювання повсякденного функціонування;</w:t>
      </w:r>
    </w:p>
    <w:p w14:paraId="2BEF06AE" w14:textId="10730833" w:rsidR="007920B7" w:rsidRPr="007920B7" w:rsidRDefault="007920B7" w:rsidP="007920B7">
      <w:pPr>
        <w:numPr>
          <w:ilvl w:val="0"/>
          <w:numId w:val="1"/>
        </w:numPr>
        <w:spacing w:after="120"/>
        <w:jc w:val="both"/>
      </w:pPr>
      <w:r w:rsidRPr="007920B7">
        <w:rPr>
          <w:b/>
          <w:bCs/>
        </w:rPr>
        <w:t>законним представникам</w:t>
      </w:r>
      <w:r>
        <w:t xml:space="preserve"> </w:t>
      </w:r>
      <w:r w:rsidRPr="007920B7">
        <w:t>або</w:t>
      </w:r>
      <w:r>
        <w:t xml:space="preserve"> </w:t>
      </w:r>
      <w:r w:rsidRPr="007920B7">
        <w:rPr>
          <w:b/>
          <w:bCs/>
        </w:rPr>
        <w:t>уповноваженим представникам</w:t>
      </w:r>
      <w:r>
        <w:t xml:space="preserve"> </w:t>
      </w:r>
      <w:r w:rsidRPr="007920B7">
        <w:t>на підставі документів, що підтверджують їхні повноваження.</w:t>
      </w:r>
    </w:p>
    <w:p w14:paraId="0BE01E80" w14:textId="77777777" w:rsidR="007920B7" w:rsidRPr="007920B7" w:rsidRDefault="007920B7" w:rsidP="007920B7">
      <w:pPr>
        <w:spacing w:after="120"/>
        <w:ind w:firstLine="709"/>
        <w:jc w:val="both"/>
      </w:pPr>
      <w:r w:rsidRPr="007920B7">
        <w:rPr>
          <w:b/>
          <w:bCs/>
        </w:rPr>
        <w:t>Яка дія без консульського збору</w:t>
      </w:r>
    </w:p>
    <w:p w14:paraId="2FFECD72" w14:textId="13257655" w:rsidR="007920B7" w:rsidRPr="007920B7" w:rsidRDefault="007920B7" w:rsidP="007920B7">
      <w:pPr>
        <w:spacing w:after="120"/>
        <w:ind w:firstLine="709"/>
        <w:jc w:val="both"/>
      </w:pPr>
      <w:r w:rsidRPr="007920B7">
        <w:t>Без сплати консульського збору консульство (закордонна дипломатична установа України)</w:t>
      </w:r>
      <w:r>
        <w:t xml:space="preserve"> </w:t>
      </w:r>
      <w:r w:rsidRPr="007920B7">
        <w:rPr>
          <w:b/>
          <w:bCs/>
        </w:rPr>
        <w:t>засвідчує правильність перекладу на українську мову</w:t>
      </w:r>
      <w:r>
        <w:t xml:space="preserve"> </w:t>
      </w:r>
      <w:r w:rsidRPr="007920B7">
        <w:t>документів,</w:t>
      </w:r>
      <w:r>
        <w:t xml:space="preserve"> </w:t>
      </w:r>
      <w:r w:rsidRPr="007920B7">
        <w:rPr>
          <w:b/>
          <w:bCs/>
        </w:rPr>
        <w:t>необхідних для направлення</w:t>
      </w:r>
      <w:r>
        <w:t xml:space="preserve"> </w:t>
      </w:r>
      <w:r w:rsidRPr="007920B7">
        <w:t>на оцінювання повсякденного функціонування. Це правило застосовується</w:t>
      </w:r>
      <w:r>
        <w:t xml:space="preserve"> </w:t>
      </w:r>
      <w:r w:rsidRPr="007920B7">
        <w:rPr>
          <w:b/>
          <w:bCs/>
        </w:rPr>
        <w:t>лише</w:t>
      </w:r>
      <w:r>
        <w:t xml:space="preserve"> </w:t>
      </w:r>
      <w:r w:rsidRPr="007920B7">
        <w:t>до цієї дії — засвідчення правильності перекладу для направлення на оцінювання.</w:t>
      </w:r>
    </w:p>
    <w:p w14:paraId="5D1C6A0D" w14:textId="47ADC8C4" w:rsidR="007920B7" w:rsidRPr="007920B7" w:rsidRDefault="007920B7" w:rsidP="007920B7">
      <w:pPr>
        <w:spacing w:after="120"/>
        <w:ind w:firstLine="709"/>
        <w:jc w:val="both"/>
      </w:pPr>
      <w:r w:rsidRPr="007920B7">
        <w:t>Правова підстава:</w:t>
      </w:r>
      <w:r>
        <w:t xml:space="preserve"> </w:t>
      </w:r>
      <w:hyperlink r:id="rId5" w:anchor=":~:text=%D0%97%D0%B0%20%D0%B2%D1%87%D0%B8%D0%BD%D0%B5%D0%BD%D0%BD%D1%8F%20%D0%BD%D0%BE%D1%82%D0%B0%D1%80%D1%96%D0%B0%D0%BB%D1%8C%D0%BD%D0%B8%D1%85%20%D0%B4%D1%96%D0%B9%20%D0%B7%D0%B0%20%D0%BA%D0%BE%D1%80%D0%B4%D0%BE%D0%BD%D0%BE%D0%BC%20%D0%B7%D0%B0%20%D0%B7%D0%B2%D0%B5%D1%80%D0%BD%D0%B5%D0%BD%D0%BD%D1%8F%D0%BC,%D1%96%D0%B7%20%D0%97%D0%B0%D0%BA%D0%BE%D0%BD%D0%BE%D0%BC%20%E2%84%96%204170%2DIX%20%D0%B2%D1%96%D0%B4%2019.12.2024%7D" w:tgtFrame="_blank" w:history="1">
        <w:r w:rsidRPr="007920B7">
          <w:rPr>
            <w:rStyle w:val="ae"/>
            <w:b/>
            <w:bCs/>
          </w:rPr>
          <w:t>стаття 38 Закону України «Про нотаріат»</w:t>
        </w:r>
      </w:hyperlink>
      <w:r w:rsidRPr="007920B7">
        <w:t>, яка встановлює, що в такому випадку</w:t>
      </w:r>
      <w:r>
        <w:t xml:space="preserve"> </w:t>
      </w:r>
      <w:r w:rsidRPr="007920B7">
        <w:rPr>
          <w:b/>
          <w:bCs/>
        </w:rPr>
        <w:t>консульський збір не справляється</w:t>
      </w:r>
      <w:r w:rsidRPr="007920B7">
        <w:t xml:space="preserve">. Відповідні зміни </w:t>
      </w:r>
      <w:proofErr w:type="spellStart"/>
      <w:r w:rsidRPr="007920B7">
        <w:t>внесено</w:t>
      </w:r>
      <w:proofErr w:type="spellEnd"/>
      <w:r>
        <w:t xml:space="preserve"> </w:t>
      </w:r>
      <w:r w:rsidRPr="007920B7">
        <w:rPr>
          <w:b/>
          <w:bCs/>
        </w:rPr>
        <w:t>Законом № 4170-IX від 19.12.2024</w:t>
      </w:r>
      <w:r w:rsidRPr="007920B7">
        <w:t>.</w:t>
      </w:r>
    </w:p>
    <w:p w14:paraId="261D542F" w14:textId="634F7109" w:rsidR="007920B7" w:rsidRPr="007920B7" w:rsidRDefault="007920B7" w:rsidP="007920B7">
      <w:pPr>
        <w:spacing w:after="120"/>
        <w:ind w:firstLine="709"/>
        <w:jc w:val="both"/>
      </w:pPr>
      <w:r w:rsidRPr="007920B7">
        <w:t>Виняток щодо несплати консульського збору застосовується до</w:t>
      </w:r>
      <w:r>
        <w:t xml:space="preserve"> </w:t>
      </w:r>
      <w:r w:rsidRPr="007920B7">
        <w:rPr>
          <w:b/>
          <w:bCs/>
        </w:rPr>
        <w:t>документів, необхідних для направлення</w:t>
      </w:r>
      <w:r>
        <w:t xml:space="preserve"> </w:t>
      </w:r>
      <w:r w:rsidRPr="007920B7">
        <w:t>на оцінювання повсякденного функціонування. Зокрема, це можуть бути:</w:t>
      </w:r>
    </w:p>
    <w:p w14:paraId="4E335249" w14:textId="77777777" w:rsidR="007920B7" w:rsidRPr="007920B7" w:rsidRDefault="007920B7" w:rsidP="007920B7">
      <w:pPr>
        <w:numPr>
          <w:ilvl w:val="0"/>
          <w:numId w:val="2"/>
        </w:numPr>
        <w:spacing w:after="120"/>
        <w:jc w:val="both"/>
      </w:pPr>
      <w:r w:rsidRPr="007920B7">
        <w:t>медичні документи (висновки, виписки, результати обстежень та інші медичні довідки);</w:t>
      </w:r>
    </w:p>
    <w:p w14:paraId="21E891BD" w14:textId="253C80AF" w:rsidR="007920B7" w:rsidRPr="007920B7" w:rsidRDefault="007920B7" w:rsidP="007920B7">
      <w:pPr>
        <w:numPr>
          <w:ilvl w:val="0"/>
          <w:numId w:val="2"/>
        </w:numPr>
        <w:spacing w:after="120"/>
        <w:jc w:val="both"/>
      </w:pPr>
      <w:r w:rsidRPr="007920B7">
        <w:t>документи, що підтверджують стан здоров’я та</w:t>
      </w:r>
      <w:r w:rsidR="009D574E">
        <w:t xml:space="preserve"> </w:t>
      </w:r>
      <w:r w:rsidRPr="007920B7">
        <w:t>/</w:t>
      </w:r>
      <w:r w:rsidR="009D574E">
        <w:t xml:space="preserve"> </w:t>
      </w:r>
      <w:r w:rsidRPr="007920B7">
        <w:t>або повсякденне функціонування і потрібні для направлення;</w:t>
      </w:r>
    </w:p>
    <w:p w14:paraId="722BC39E" w14:textId="77777777" w:rsidR="007920B7" w:rsidRPr="007920B7" w:rsidRDefault="007920B7" w:rsidP="007920B7">
      <w:pPr>
        <w:numPr>
          <w:ilvl w:val="0"/>
          <w:numId w:val="2"/>
        </w:numPr>
        <w:spacing w:after="120"/>
        <w:jc w:val="both"/>
      </w:pPr>
      <w:r w:rsidRPr="007920B7">
        <w:t>супровідні документи, якщо вони входять до пакета документів для направлення.</w:t>
      </w:r>
    </w:p>
    <w:p w14:paraId="13FC7AF0" w14:textId="77777777" w:rsidR="007920B7" w:rsidRPr="007920B7" w:rsidRDefault="007920B7" w:rsidP="007920B7">
      <w:pPr>
        <w:spacing w:after="120"/>
        <w:ind w:firstLine="709"/>
        <w:jc w:val="both"/>
      </w:pPr>
      <w:r w:rsidRPr="007920B7">
        <w:rPr>
          <w:b/>
          <w:bCs/>
        </w:rPr>
        <w:t>Алгоритм дій</w:t>
      </w:r>
    </w:p>
    <w:p w14:paraId="58050A73" w14:textId="292FFD11" w:rsidR="007920B7" w:rsidRPr="007920B7" w:rsidRDefault="007920B7" w:rsidP="007920B7">
      <w:pPr>
        <w:numPr>
          <w:ilvl w:val="0"/>
          <w:numId w:val="3"/>
        </w:numPr>
        <w:spacing w:after="120"/>
        <w:jc w:val="both"/>
      </w:pPr>
      <w:r w:rsidRPr="007920B7">
        <w:rPr>
          <w:b/>
          <w:bCs/>
        </w:rPr>
        <w:t>Перевірте порядок подачі в вашій закордонній дипломатичній установі України</w:t>
      </w:r>
      <w:r w:rsidR="009D574E">
        <w:rPr>
          <w:b/>
          <w:bCs/>
        </w:rPr>
        <w:t xml:space="preserve"> </w:t>
      </w:r>
      <w:r w:rsidRPr="007920B7">
        <w:t>(як записатися, які формати приймають, чи потрібен оригінал/копія).</w:t>
      </w:r>
    </w:p>
    <w:p w14:paraId="546EBFA2" w14:textId="77777777" w:rsidR="007920B7" w:rsidRPr="007920B7" w:rsidRDefault="007920B7" w:rsidP="007920B7">
      <w:pPr>
        <w:numPr>
          <w:ilvl w:val="0"/>
          <w:numId w:val="3"/>
        </w:numPr>
        <w:spacing w:after="120"/>
        <w:jc w:val="both"/>
      </w:pPr>
      <w:r w:rsidRPr="007920B7">
        <w:rPr>
          <w:b/>
          <w:bCs/>
        </w:rPr>
        <w:t>Підготуйте документ</w:t>
      </w:r>
      <w:r w:rsidRPr="007920B7">
        <w:t>, який ви подаєте для направлення на оцінювання (оригінал або належну копію — за вимогами установи).</w:t>
      </w:r>
    </w:p>
    <w:p w14:paraId="37BA8C3C" w14:textId="77777777" w:rsidR="007920B7" w:rsidRPr="007920B7" w:rsidRDefault="007920B7" w:rsidP="007920B7">
      <w:pPr>
        <w:numPr>
          <w:ilvl w:val="0"/>
          <w:numId w:val="3"/>
        </w:numPr>
        <w:spacing w:after="120"/>
        <w:jc w:val="both"/>
      </w:pPr>
      <w:r w:rsidRPr="007920B7">
        <w:rPr>
          <w:b/>
          <w:bCs/>
        </w:rPr>
        <w:lastRenderedPageBreak/>
        <w:t>Організуйте переклад українською мовою</w:t>
      </w:r>
      <w:r w:rsidRPr="007920B7">
        <w:t>:</w:t>
      </w:r>
    </w:p>
    <w:p w14:paraId="0AA2A03C" w14:textId="24DCC73E" w:rsidR="007920B7" w:rsidRPr="007920B7" w:rsidRDefault="007920B7" w:rsidP="007920B7">
      <w:pPr>
        <w:numPr>
          <w:ilvl w:val="0"/>
          <w:numId w:val="4"/>
        </w:numPr>
        <w:spacing w:after="120"/>
        <w:jc w:val="both"/>
      </w:pPr>
      <w:r w:rsidRPr="007920B7">
        <w:t xml:space="preserve">якщо консул володіє відповідними мовами, він може засвідчити </w:t>
      </w:r>
      <w:r w:rsidR="009D574E">
        <w:t>правиль</w:t>
      </w:r>
      <w:r w:rsidRPr="007920B7">
        <w:t>ність перекладу;</w:t>
      </w:r>
    </w:p>
    <w:p w14:paraId="1BE9C762" w14:textId="0A25F9F9" w:rsidR="007920B7" w:rsidRPr="007920B7" w:rsidRDefault="007920B7" w:rsidP="007920B7">
      <w:pPr>
        <w:numPr>
          <w:ilvl w:val="0"/>
          <w:numId w:val="4"/>
        </w:numPr>
        <w:spacing w:after="120"/>
        <w:jc w:val="both"/>
      </w:pPr>
      <w:r w:rsidRPr="007920B7">
        <w:t>якщо консул не володіє однією з мов, переклад виконує перекладач, а консульство</w:t>
      </w:r>
      <w:r w:rsidR="009D574E">
        <w:t xml:space="preserve"> </w:t>
      </w:r>
      <w:r w:rsidRPr="007920B7">
        <w:rPr>
          <w:b/>
          <w:bCs/>
        </w:rPr>
        <w:t>засвідчує справжність підпису перекладача</w:t>
      </w:r>
      <w:r w:rsidRPr="007920B7">
        <w:t>; при цьому перекладач подає документ, що посвідчує особу, та документ, що підтверджує кваліфікацію і знання мови.</w:t>
      </w:r>
      <w:hyperlink r:id="rId6" w:tgtFrame="_blank" w:history="1">
        <w:r w:rsidR="009D574E">
          <w:rPr>
            <w:rStyle w:val="ae"/>
          </w:rPr>
          <w:t xml:space="preserve"> </w:t>
        </w:r>
        <w:r w:rsidRPr="007920B7">
          <w:rPr>
            <w:rStyle w:val="ae"/>
          </w:rPr>
          <w:t>Відповідно до</w:t>
        </w:r>
      </w:hyperlink>
      <w:r w:rsidR="009D574E">
        <w:t xml:space="preserve"> </w:t>
      </w:r>
      <w:r w:rsidRPr="007920B7">
        <w:t>Положення про порядок учинення нотаріальних дій у дипломатичних представництвах і консульських установах України (</w:t>
      </w:r>
      <w:hyperlink r:id="rId7" w:anchor="Text:~:text=3.14.%20%D0%97%D0%B0%D1%81%D0%B2%D1%96%D0%B4%D1%87%D0%B5%D0%BD%D0%BD%D1%8F%20%D0%B2%D1%96%D1%80%D0%BD%D0%BE%D1%81%D1%82%D1%96,%D0%B7%D0%BD%D0%B0%D0%BD%D0%BD%D1%8F%20%D0%B2%D1%96%D0%B4%D0%BF%D0%BE%D0%B2%D1%96%D0%B4%D0%BD%D0%BE%D1%97%20%D0%BC%D0%BE%D0%B2%D0%B8." w:tgtFrame="_blank" w:history="1">
        <w:r w:rsidRPr="007920B7">
          <w:rPr>
            <w:rStyle w:val="ae"/>
          </w:rPr>
          <w:t>наказ Мін’юсту/МЗС № 142/5/310, пункт 3.14.1</w:t>
        </w:r>
      </w:hyperlink>
      <w:r w:rsidRPr="007920B7">
        <w:t>)</w:t>
      </w:r>
      <w:r w:rsidR="009D574E">
        <w:t>:</w:t>
      </w:r>
    </w:p>
    <w:p w14:paraId="7292CD2B" w14:textId="387C0DB0" w:rsidR="007920B7" w:rsidRPr="007920B7" w:rsidRDefault="007920B7" w:rsidP="007920B7">
      <w:pPr>
        <w:numPr>
          <w:ilvl w:val="0"/>
          <w:numId w:val="5"/>
        </w:numPr>
        <w:spacing w:after="120"/>
        <w:jc w:val="both"/>
      </w:pPr>
      <w:r w:rsidRPr="007920B7">
        <w:rPr>
          <w:b/>
          <w:bCs/>
        </w:rPr>
        <w:t>Запишіться на прийом / подайте заявку</w:t>
      </w:r>
      <w:r w:rsidR="009D574E">
        <w:t xml:space="preserve"> </w:t>
      </w:r>
      <w:r w:rsidRPr="007920B7">
        <w:t>за процедурою установи.</w:t>
      </w:r>
    </w:p>
    <w:p w14:paraId="04D5F145" w14:textId="402BCB13" w:rsidR="007920B7" w:rsidRPr="007920B7" w:rsidRDefault="007920B7" w:rsidP="007920B7">
      <w:pPr>
        <w:numPr>
          <w:ilvl w:val="0"/>
          <w:numId w:val="5"/>
        </w:numPr>
        <w:spacing w:after="120"/>
        <w:jc w:val="both"/>
      </w:pPr>
      <w:r w:rsidRPr="007920B7">
        <w:t>Під час звернення чітко сформулюйте прохання:</w:t>
      </w:r>
      <w:r w:rsidR="009D574E">
        <w:t xml:space="preserve"> </w:t>
      </w:r>
      <w:r w:rsidRPr="007920B7">
        <w:rPr>
          <w:b/>
          <w:bCs/>
        </w:rPr>
        <w:t>«засвідчити правильність</w:t>
      </w:r>
      <w:r w:rsidR="009D574E">
        <w:rPr>
          <w:b/>
          <w:bCs/>
        </w:rPr>
        <w:t xml:space="preserve"> </w:t>
      </w:r>
      <w:r w:rsidRPr="007920B7">
        <w:rPr>
          <w:b/>
          <w:bCs/>
        </w:rPr>
        <w:t>/</w:t>
      </w:r>
      <w:r w:rsidR="009D574E">
        <w:rPr>
          <w:b/>
          <w:bCs/>
        </w:rPr>
        <w:t xml:space="preserve"> </w:t>
      </w:r>
      <w:r w:rsidRPr="007920B7">
        <w:rPr>
          <w:b/>
          <w:bCs/>
        </w:rPr>
        <w:t>вірність перекладу на українську мову»</w:t>
      </w:r>
      <w:r w:rsidR="009D574E">
        <w:t xml:space="preserve"> </w:t>
      </w:r>
      <w:r w:rsidRPr="007920B7">
        <w:t>і зазначте мету:</w:t>
      </w:r>
      <w:r w:rsidR="009D574E">
        <w:t xml:space="preserve"> </w:t>
      </w:r>
      <w:r w:rsidRPr="007920B7">
        <w:rPr>
          <w:b/>
          <w:bCs/>
        </w:rPr>
        <w:t>«документи для направлення на оцінювання повсякденного функціонування»</w:t>
      </w:r>
      <w:r w:rsidRPr="007920B7">
        <w:t>.</w:t>
      </w:r>
    </w:p>
    <w:p w14:paraId="1E95A748" w14:textId="69ADEEAB" w:rsidR="007920B7" w:rsidRPr="007920B7" w:rsidRDefault="007920B7" w:rsidP="007920B7">
      <w:pPr>
        <w:numPr>
          <w:ilvl w:val="0"/>
          <w:numId w:val="5"/>
        </w:numPr>
        <w:spacing w:after="120"/>
        <w:jc w:val="both"/>
      </w:pPr>
      <w:r w:rsidRPr="007920B7">
        <w:t>Якщо вам повідомляють про необхідність оплати, посилайтеся на</w:t>
      </w:r>
      <w:r w:rsidR="009D574E">
        <w:rPr>
          <w:b/>
          <w:bCs/>
        </w:rPr>
        <w:t xml:space="preserve"> </w:t>
      </w:r>
      <w:hyperlink r:id="rId8" w:anchor=":~:text=%D0%97%D0%B0%20%D0%B2%D1%87%D0%B8%D0%BD%D0%B5%D0%BD%D0%BD%D1%8F%20%D0%BD%D0%BE%D1%82%D0%B0%D1%80%D1%96%D0%B0%D0%BB%D1%8C%D0%BD%D0%B8%D1%85%20%D0%B4%D1%96%D0%B9%20%D0%B7%D0%B0%20%D0%BA%D0%BE%D1%80%D0%B4%D0%BE%D0%BD%D0%BE%D0%BC%20%D0%B7%D0%B0%20%D0%B7%D0%B2%D0%B5%D1%80%D0%BD%D0%B5%D0%BD%D0%BD%D1%8F%D0%BC,%D1%96%D0%B7%20%D0%97%D0%B0%D0%BA%D0%BE%D0%BD%D0%BE%D0%BC%20%E2%84%96%204170%2DIX%20%D0%B2%D1%96%D0%B4%2019.12.2024%7D" w:tgtFrame="_blank" w:history="1">
        <w:r w:rsidRPr="007920B7">
          <w:rPr>
            <w:rStyle w:val="ae"/>
            <w:b/>
            <w:bCs/>
          </w:rPr>
          <w:t>ст. 38 Закону України «Про нотаріат»</w:t>
        </w:r>
      </w:hyperlink>
      <w:r w:rsidRPr="007920B7">
        <w:t>: за зверненням щодо засвідчення правильності перекладу на українську мову документів, необхідних для направлення на оцінювання повсякденного функціонування,</w:t>
      </w:r>
      <w:r w:rsidR="009D574E">
        <w:t xml:space="preserve"> </w:t>
      </w:r>
      <w:r w:rsidRPr="007920B7">
        <w:rPr>
          <w:b/>
          <w:bCs/>
        </w:rPr>
        <w:t>консульський збір не справляється</w:t>
      </w:r>
      <w:r w:rsidRPr="007920B7">
        <w:t>.</w:t>
      </w:r>
    </w:p>
    <w:p w14:paraId="6E3F2602" w14:textId="1C93F4AA" w:rsidR="007920B7" w:rsidRPr="007920B7" w:rsidRDefault="007920B7" w:rsidP="007920B7">
      <w:pPr>
        <w:numPr>
          <w:ilvl w:val="0"/>
          <w:numId w:val="5"/>
        </w:numPr>
        <w:spacing w:after="120"/>
        <w:jc w:val="both"/>
      </w:pPr>
      <w:r w:rsidRPr="007920B7">
        <w:rPr>
          <w:b/>
          <w:bCs/>
        </w:rPr>
        <w:t>Отримайте засвідчений переклад</w:t>
      </w:r>
      <w:r w:rsidR="009D574E">
        <w:t xml:space="preserve"> </w:t>
      </w:r>
      <w:r w:rsidRPr="007920B7">
        <w:t>і використайте його в пакеті документів для направлення.</w:t>
      </w:r>
    </w:p>
    <w:p w14:paraId="07A2050E" w14:textId="1FE28F88" w:rsidR="007920B7" w:rsidRDefault="007920B7" w:rsidP="007920B7">
      <w:pPr>
        <w:spacing w:after="120"/>
        <w:ind w:firstLine="709"/>
        <w:jc w:val="both"/>
      </w:pPr>
      <w:r w:rsidRPr="007920B7">
        <w:rPr>
          <w:b/>
          <w:bCs/>
        </w:rPr>
        <w:t>Інформація про оцінювання повсякденного функціонування на сайті МОЗ:</w:t>
      </w:r>
      <w:r w:rsidR="009D574E">
        <w:rPr>
          <w:b/>
          <w:bCs/>
        </w:rPr>
        <w:t xml:space="preserve"> </w:t>
      </w:r>
      <w:hyperlink r:id="rId9" w:history="1">
        <w:r w:rsidR="009D574E" w:rsidRPr="007920B7">
          <w:rPr>
            <w:rStyle w:val="ae"/>
          </w:rPr>
          <w:t>https://moz.gov.ua/uk/ekopfo</w:t>
        </w:r>
      </w:hyperlink>
    </w:p>
    <w:p w14:paraId="0607B93C" w14:textId="0F1F1D8A" w:rsidR="007920B7" w:rsidRPr="007920B7" w:rsidRDefault="007920B7" w:rsidP="007920B7">
      <w:pPr>
        <w:spacing w:after="120"/>
        <w:ind w:firstLine="709"/>
        <w:jc w:val="both"/>
        <w:rPr>
          <w:b/>
          <w:bCs/>
        </w:rPr>
      </w:pPr>
      <w:r w:rsidRPr="007920B7">
        <w:rPr>
          <w:b/>
          <w:bCs/>
        </w:rPr>
        <w:t>МОЗ</w:t>
      </w:r>
      <w:r w:rsidRPr="007920B7">
        <w:rPr>
          <w:b/>
          <w:bCs/>
        </w:rPr>
        <w:t xml:space="preserve"> України</w:t>
      </w:r>
    </w:p>
    <w:p w14:paraId="0B62F7FC" w14:textId="77777777" w:rsidR="00F12C76" w:rsidRDefault="00F12C76" w:rsidP="006C0B77">
      <w:pPr>
        <w:spacing w:after="0"/>
        <w:ind w:firstLine="709"/>
        <w:jc w:val="both"/>
      </w:pPr>
    </w:p>
    <w:sectPr w:rsidR="00F12C76" w:rsidSect="008E533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86175"/>
    <w:multiLevelType w:val="multilevel"/>
    <w:tmpl w:val="409C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C68AB"/>
    <w:multiLevelType w:val="multilevel"/>
    <w:tmpl w:val="73A6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61F67"/>
    <w:multiLevelType w:val="multilevel"/>
    <w:tmpl w:val="D296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10844"/>
    <w:multiLevelType w:val="multilevel"/>
    <w:tmpl w:val="A8D2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E4CA2"/>
    <w:multiLevelType w:val="multilevel"/>
    <w:tmpl w:val="7618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620719">
    <w:abstractNumId w:val="4"/>
  </w:num>
  <w:num w:numId="2" w16cid:durableId="201946311">
    <w:abstractNumId w:val="3"/>
  </w:num>
  <w:num w:numId="3" w16cid:durableId="1130829947">
    <w:abstractNumId w:val="1"/>
  </w:num>
  <w:num w:numId="4" w16cid:durableId="671682154">
    <w:abstractNumId w:val="2"/>
  </w:num>
  <w:num w:numId="5" w16cid:durableId="174190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B7"/>
    <w:rsid w:val="001421B1"/>
    <w:rsid w:val="00175BAA"/>
    <w:rsid w:val="004F5C37"/>
    <w:rsid w:val="00657D1C"/>
    <w:rsid w:val="006C0B77"/>
    <w:rsid w:val="007920B7"/>
    <w:rsid w:val="008242FF"/>
    <w:rsid w:val="00824E83"/>
    <w:rsid w:val="00870751"/>
    <w:rsid w:val="008E533A"/>
    <w:rsid w:val="008F2408"/>
    <w:rsid w:val="00922C48"/>
    <w:rsid w:val="009D574E"/>
    <w:rsid w:val="00B73853"/>
    <w:rsid w:val="00B915B7"/>
    <w:rsid w:val="00D903DC"/>
    <w:rsid w:val="00E82139"/>
    <w:rsid w:val="00EA4A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E80D"/>
  <w15:chartTrackingRefBased/>
  <w15:docId w15:val="{80083544-30C9-4D6C-A5FA-474A0DBF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2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0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0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0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0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0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0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0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0B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20B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20B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20B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20B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20B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20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2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0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2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20B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92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20B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920B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920B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92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425-12/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649-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649-04/ed20200807/pri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3425-12/pri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z.gov.ua/uk/ekop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2026-04-21T06:57:00Z</dcterms:created>
  <dcterms:modified xsi:type="dcterms:W3CDTF">2026-04-21T07:02:00Z</dcterms:modified>
</cp:coreProperties>
</file>